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DA" w:rsidRPr="00C30264" w:rsidRDefault="009406DA" w:rsidP="009406DA">
      <w:pPr>
        <w:widowControl w:val="0"/>
        <w:spacing w:line="360" w:lineRule="auto"/>
        <w:ind w:left="284"/>
        <w:jc w:val="center"/>
        <w:rPr>
          <w:sz w:val="28"/>
          <w:szCs w:val="28"/>
        </w:rPr>
      </w:pPr>
      <w:r w:rsidRPr="00C30264">
        <w:rPr>
          <w:sz w:val="28"/>
          <w:szCs w:val="28"/>
        </w:rPr>
        <w:t>ЗАКЛЮЧЕНИЕ</w:t>
      </w:r>
    </w:p>
    <w:p w:rsidR="009406DA" w:rsidRPr="00C30264" w:rsidRDefault="009406DA" w:rsidP="009406DA">
      <w:pPr>
        <w:widowControl w:val="0"/>
        <w:ind w:left="284"/>
        <w:jc w:val="center"/>
        <w:rPr>
          <w:sz w:val="28"/>
          <w:szCs w:val="28"/>
        </w:rPr>
      </w:pPr>
      <w:r w:rsidRPr="00C30264">
        <w:rPr>
          <w:sz w:val="28"/>
          <w:szCs w:val="28"/>
        </w:rPr>
        <w:t xml:space="preserve">об оценке регулирующего воздействия на проект постановления </w:t>
      </w:r>
      <w:r w:rsidRPr="00C30264">
        <w:rPr>
          <w:sz w:val="28"/>
          <w:szCs w:val="28"/>
        </w:rPr>
        <w:br/>
        <w:t xml:space="preserve">Правительства Российской Федерации «О внесении изменений в постановление Правительства Российской Федерации от 30 декабря 2013 г. № 1314 </w:t>
      </w:r>
      <w:r w:rsidRPr="00C30264">
        <w:rPr>
          <w:sz w:val="28"/>
          <w:szCs w:val="28"/>
        </w:rPr>
        <w:br/>
        <w:t xml:space="preserve">«Об утверждении Правил подключения (технологического присоединения) объектов капитального строительства к сетям газораспределения, а также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об изменении и признании утратившими силу некоторых актов Правительства Российской Федерации»</w:t>
      </w:r>
    </w:p>
    <w:p w:rsidR="009406DA" w:rsidRPr="00C30264" w:rsidRDefault="009406DA" w:rsidP="009406DA">
      <w:pPr>
        <w:widowControl w:val="0"/>
        <w:ind w:left="284"/>
        <w:jc w:val="center"/>
        <w:rPr>
          <w:sz w:val="28"/>
          <w:szCs w:val="28"/>
        </w:rPr>
      </w:pPr>
    </w:p>
    <w:p w:rsidR="009406DA" w:rsidRPr="00C30264" w:rsidRDefault="009406DA" w:rsidP="009406D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 xml:space="preserve">Минэкономразвития России в соответствии с пунктом 26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утвержденных постановлением Правительства Российской Федерации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от 17 декабря </w:t>
      </w:r>
      <w:smartTag w:uri="urn:schemas-microsoft-com:office:smarttags" w:element="metricconverter">
        <w:smartTagPr>
          <w:attr w:name="ProductID" w:val="2012 г"/>
        </w:smartTagPr>
        <w:r w:rsidRPr="00C30264">
          <w:rPr>
            <w:sz w:val="28"/>
            <w:szCs w:val="28"/>
          </w:rPr>
          <w:t>2012 г</w:t>
        </w:r>
      </w:smartTag>
      <w:r w:rsidRPr="00C30264">
        <w:rPr>
          <w:sz w:val="28"/>
          <w:szCs w:val="28"/>
        </w:rPr>
        <w:t>. № 1318 (далее – Правила), рассмотрело проект постановления Правительства Российской Федерации «О внесении изменений в постановление Правительства Российской Федерации от</w:t>
      </w:r>
      <w:proofErr w:type="gramEnd"/>
      <w:r w:rsidRPr="00C30264">
        <w:rPr>
          <w:sz w:val="28"/>
          <w:szCs w:val="28"/>
        </w:rPr>
        <w:t xml:space="preserve"> 30 декабря 2013 г. № 1314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«Об утверждении Правил подключения (технологического присоединения) объектов капитального строительства к сетям газораспределения, а также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об изменении и признании утратившими силу некоторых актов Правительства Российской Федерации» (далее – проект акта), подготовленный и направленный для подготовки настоящего заключения Минэнерго России (далее – разработчик)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 сообщает следующее</w:t>
      </w:r>
      <w:r w:rsidRPr="00C30264">
        <w:rPr>
          <w:sz w:val="28"/>
          <w:szCs w:val="28"/>
        </w:rPr>
        <w:t xml:space="preserve">. </w:t>
      </w:r>
    </w:p>
    <w:p w:rsidR="009406DA" w:rsidRPr="00C30264" w:rsidRDefault="009406DA" w:rsidP="009406DA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264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9406DA" w:rsidRPr="00C30264" w:rsidRDefault="009406DA" w:rsidP="009406DA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264">
        <w:rPr>
          <w:rFonts w:ascii="Times New Roman" w:hAnsi="Times New Roman" w:cs="Times New Roman"/>
          <w:sz w:val="28"/>
          <w:szCs w:val="28"/>
        </w:rPr>
        <w:t xml:space="preserve">Разработчиком проведены публичные обсуждения уведомления о подготовке проекта акта в срок с 9 октября 2015 г. по 29 октября 2015 г., а также проекта 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30264">
        <w:rPr>
          <w:rFonts w:ascii="Times New Roman" w:hAnsi="Times New Roman" w:cs="Times New Roman"/>
          <w:sz w:val="28"/>
          <w:szCs w:val="28"/>
        </w:rPr>
        <w:t xml:space="preserve">и сводного отчета о проведении оценки регулирующего воздействия проекта акта (далее – сводный отчет) в срок с 12 февраля 2016 г. по 14 марта 2016 г. </w:t>
      </w:r>
    </w:p>
    <w:p w:rsidR="009406DA" w:rsidRPr="00C30264" w:rsidRDefault="009406DA" w:rsidP="009406DA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264"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(далее – официальный сайт) по адресу: </w:t>
      </w:r>
      <w:hyperlink r:id="rId7" w:history="1">
        <w:r w:rsidRPr="00C30264">
          <w:rPr>
            <w:rStyle w:val="a6"/>
            <w:rFonts w:ascii="Times New Roman" w:hAnsi="Times New Roman" w:cs="Times New Roman"/>
            <w:sz w:val="28"/>
            <w:szCs w:val="28"/>
          </w:rPr>
          <w:t>http://regulation.gov.ru</w:t>
        </w:r>
      </w:hyperlink>
      <w:r w:rsidRPr="00C30264">
        <w:rPr>
          <w:rFonts w:ascii="Times New Roman" w:hAnsi="Times New Roman" w:cs="Times New Roman"/>
          <w:sz w:val="28"/>
          <w:szCs w:val="28"/>
        </w:rPr>
        <w:t xml:space="preserve"> </w:t>
      </w:r>
      <w:r w:rsidRPr="00C30264">
        <w:rPr>
          <w:rFonts w:ascii="Times New Roman" w:hAnsi="Times New Roman" w:cs="Times New Roman"/>
          <w:sz w:val="28"/>
          <w:szCs w:val="28"/>
        </w:rPr>
        <w:br/>
        <w:t>(</w:t>
      </w:r>
      <w:r w:rsidRPr="00C30264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30264">
        <w:rPr>
          <w:rFonts w:ascii="Times New Roman" w:hAnsi="Times New Roman" w:cs="Times New Roman"/>
          <w:sz w:val="28"/>
          <w:szCs w:val="28"/>
        </w:rPr>
        <w:t xml:space="preserve"> проекта: 02/07/10-15/00040810).</w:t>
      </w:r>
    </w:p>
    <w:p w:rsidR="009406DA" w:rsidRDefault="009406DA" w:rsidP="009406DA">
      <w:pPr>
        <w:pStyle w:val="ConsPlusNonformat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264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проекта акта и сводного отчета установлено, что при подготовке проекта акта процедуры, предусмотренные пунктами 9 - 23 Правил, разработчиком соблюдены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Pr="00C30264">
        <w:rPr>
          <w:rFonts w:ascii="Times New Roman" w:hAnsi="Times New Roman" w:cs="Times New Roman"/>
          <w:sz w:val="28"/>
          <w:szCs w:val="28"/>
        </w:rPr>
        <w:t>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C30264">
        <w:rPr>
          <w:sz w:val="28"/>
          <w:szCs w:val="28"/>
        </w:rPr>
        <w:t xml:space="preserve">обращаем внимание разработчика на ненадлежащее содержание сводного отчета. </w:t>
      </w:r>
      <w:proofErr w:type="gramStart"/>
      <w:r w:rsidRPr="00C30264">
        <w:rPr>
          <w:sz w:val="28"/>
          <w:szCs w:val="28"/>
        </w:rPr>
        <w:t>Считаем необходимым отметить, что подготовленный разработчиком сводный отчет не отражает оценку возможных положительных и отрицательных последствий принятия проекта акта на основе анализа проблемы, целей предлагаемого регулирования, индикаторов их достижения, в том числе разработчиком не учтены требования, предусмотренные пунктом 15 Правил.</w:t>
      </w:r>
      <w:proofErr w:type="gramEnd"/>
    </w:p>
    <w:p w:rsidR="009406DA" w:rsidRPr="00C30264" w:rsidRDefault="009406DA" w:rsidP="009406DA">
      <w:pPr>
        <w:spacing w:line="360" w:lineRule="auto"/>
        <w:ind w:firstLine="708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В соответствии с пунктом 29 Правил вышеизложенный факт может быть основанием для возврата проекта акта на доработку. Учитывая изложенное, обращаем внимание на недопустимость нарушения в дальнейшем положений Правил.</w:t>
      </w:r>
    </w:p>
    <w:p w:rsidR="009406DA" w:rsidRPr="00C30264" w:rsidRDefault="009406DA" w:rsidP="009406DA">
      <w:pPr>
        <w:pStyle w:val="ConsPlusNonformat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264">
        <w:rPr>
          <w:rFonts w:ascii="Times New Roman" w:hAnsi="Times New Roman" w:cs="Times New Roman"/>
          <w:sz w:val="28"/>
          <w:szCs w:val="28"/>
        </w:rPr>
        <w:t xml:space="preserve">Согласно пункту 1.5 сводного отчета и пояснительной записке к проекту акта основанием для разработки проекта акта является пункт 1 Плана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30264">
        <w:rPr>
          <w:rFonts w:ascii="Times New Roman" w:hAnsi="Times New Roman" w:cs="Times New Roman"/>
          <w:sz w:val="28"/>
          <w:szCs w:val="28"/>
        </w:rPr>
        <w:t xml:space="preserve">по совершенствованию правового регулирования подключения объектов капитального строительства к сетям газораспределения, утвержденного распоряжением Правительства Российской Федерации от 17 сентября 2015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C30264">
        <w:rPr>
          <w:rFonts w:ascii="Times New Roman" w:hAnsi="Times New Roman" w:cs="Times New Roman"/>
          <w:sz w:val="28"/>
          <w:szCs w:val="28"/>
        </w:rPr>
        <w:t>№ 1831-р (далее – План мероприятий).</w:t>
      </w:r>
    </w:p>
    <w:p w:rsidR="009406DA" w:rsidRPr="00C30264" w:rsidRDefault="009406DA" w:rsidP="009406DA">
      <w:pPr>
        <w:pStyle w:val="ConsPlusNonformat"/>
        <w:tabs>
          <w:tab w:val="left" w:pos="4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264">
        <w:rPr>
          <w:rFonts w:ascii="Times New Roman" w:hAnsi="Times New Roman" w:cs="Times New Roman"/>
          <w:sz w:val="28"/>
          <w:szCs w:val="28"/>
        </w:rPr>
        <w:t>Согласно пункту 1.6 сводного отчета проект акта направлен на упрощение процедуры подключения (технологического присоединения) объектов капитального строительства к сетям газораспределения (далее – ГРС).</w:t>
      </w:r>
    </w:p>
    <w:p w:rsidR="009406DA" w:rsidRPr="00C30264" w:rsidRDefault="009406DA" w:rsidP="009406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В соответствии с пунктом 28 Правил Минэкономразвития России были проведены публичные консультации по проекту акта в период с 17 июня </w:t>
      </w:r>
      <w:smartTag w:uri="urn:schemas-microsoft-com:office:smarttags" w:element="metricconverter">
        <w:smartTagPr>
          <w:attr w:name="ProductID" w:val="2016 г"/>
        </w:smartTagPr>
        <w:r w:rsidRPr="00C30264">
          <w:rPr>
            <w:sz w:val="28"/>
            <w:szCs w:val="28"/>
          </w:rPr>
          <w:t>2016 г</w:t>
        </w:r>
      </w:smartTag>
      <w:r w:rsidRPr="00C30264">
        <w:rPr>
          <w:sz w:val="28"/>
          <w:szCs w:val="28"/>
        </w:rPr>
        <w:t xml:space="preserve">. </w:t>
      </w:r>
      <w:r w:rsidRPr="00C30264">
        <w:rPr>
          <w:sz w:val="28"/>
          <w:szCs w:val="28"/>
        </w:rPr>
        <w:br/>
        <w:t xml:space="preserve">по 24 июня </w:t>
      </w:r>
      <w:smartTag w:uri="urn:schemas-microsoft-com:office:smarttags" w:element="metricconverter">
        <w:smartTagPr>
          <w:attr w:name="ProductID" w:val="2016 г"/>
        </w:smartTagPr>
        <w:r w:rsidRPr="00C30264">
          <w:rPr>
            <w:sz w:val="28"/>
            <w:szCs w:val="28"/>
          </w:rPr>
          <w:t>2016 г</w:t>
        </w:r>
      </w:smartTag>
      <w:r w:rsidRPr="00C30264">
        <w:rPr>
          <w:sz w:val="28"/>
          <w:szCs w:val="28"/>
        </w:rPr>
        <w:t xml:space="preserve">. 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 xml:space="preserve">По итогам проведения публичных консультаций по проекту акта </w:t>
      </w:r>
      <w:r w:rsidRPr="00C30264">
        <w:rPr>
          <w:sz w:val="28"/>
          <w:szCs w:val="28"/>
        </w:rPr>
        <w:br/>
        <w:t xml:space="preserve">в Минэкономразвития России поступили позиции Аппарата Уполномоченного по защите прав предпринимателей в Чеченской Республике, Министерства строительства, архитектуры и жилищно-коммунального хозяйства Чувашской республики, Министерства экономики Республики Ингушетия, Министерства </w:t>
      </w:r>
      <w:r w:rsidRPr="00C30264">
        <w:rPr>
          <w:sz w:val="28"/>
          <w:szCs w:val="28"/>
        </w:rPr>
        <w:lastRenderedPageBreak/>
        <w:t>экономического развития Тульской области, Министерства экономического развития Калужской области, Министерства экономического развития и торговли республики Адыгея, Министерства экономического развития и инвестиционной политики Саратовской области, Министерства</w:t>
      </w:r>
      <w:proofErr w:type="gramEnd"/>
      <w:r w:rsidRPr="00C30264">
        <w:rPr>
          <w:sz w:val="28"/>
          <w:szCs w:val="28"/>
        </w:rPr>
        <w:t xml:space="preserve"> </w:t>
      </w:r>
      <w:proofErr w:type="gramStart"/>
      <w:r w:rsidRPr="00C30264">
        <w:rPr>
          <w:sz w:val="28"/>
          <w:szCs w:val="28"/>
        </w:rPr>
        <w:t xml:space="preserve">экономического развития Кировской области, Министерства топливно-энергетического комплекса и жилищно-коммунального хозяйства Архангельской области, Министерства строительства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и архитектуры Архангельской области, Министерства развития промышленности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и предпринимательства Мурманской области, Министерства энергетики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и жилищно-коммунального хозяйства Мурманской области, Департамента экономики Ямало-Ненецкого автономного округа, Департамента экономического развития Ханты-Мансийского автономного округа – </w:t>
      </w:r>
      <w:proofErr w:type="spellStart"/>
      <w:r w:rsidRPr="00C30264">
        <w:rPr>
          <w:sz w:val="28"/>
          <w:szCs w:val="28"/>
        </w:rPr>
        <w:t>Югры</w:t>
      </w:r>
      <w:proofErr w:type="spellEnd"/>
      <w:r w:rsidRPr="00C30264">
        <w:rPr>
          <w:sz w:val="28"/>
          <w:szCs w:val="28"/>
        </w:rPr>
        <w:t>, Департамента экономического развития Курганской области, Департамента жилищно-коммунального хозяйства Тюменской области, Департамента финансов и экономики Ненецкого автономного</w:t>
      </w:r>
      <w:proofErr w:type="gramEnd"/>
      <w:r w:rsidRPr="00C30264">
        <w:rPr>
          <w:sz w:val="28"/>
          <w:szCs w:val="28"/>
        </w:rPr>
        <w:t xml:space="preserve"> </w:t>
      </w:r>
      <w:proofErr w:type="gramStart"/>
      <w:r w:rsidRPr="00C30264">
        <w:rPr>
          <w:sz w:val="28"/>
          <w:szCs w:val="28"/>
        </w:rPr>
        <w:t xml:space="preserve">округа, Департамента экономики и развития предпринимательства Приморского края, Департамента энергетики и тарифов </w:t>
      </w:r>
      <w:r>
        <w:rPr>
          <w:sz w:val="28"/>
          <w:szCs w:val="28"/>
        </w:rPr>
        <w:t>Ивановской о</w:t>
      </w:r>
      <w:r w:rsidRPr="00C30264">
        <w:rPr>
          <w:sz w:val="28"/>
          <w:szCs w:val="28"/>
        </w:rPr>
        <w:t xml:space="preserve">бласти, Комитета экономики Волгоградской области, Государственного комитета Псковской области по природопользованию и охране окружающей среды, Комиссии по жилищно-коммунальному хозяйству Российского союза промышленников и предпринимателей, </w:t>
      </w:r>
      <w:r>
        <w:rPr>
          <w:sz w:val="28"/>
          <w:szCs w:val="28"/>
        </w:rPr>
        <w:t xml:space="preserve">ООО «Опора России», </w:t>
      </w:r>
      <w:r w:rsidRPr="00C30264">
        <w:rPr>
          <w:sz w:val="28"/>
          <w:szCs w:val="28"/>
        </w:rPr>
        <w:t>ООО «Деловая Россия», АО «</w:t>
      </w:r>
      <w:proofErr w:type="spellStart"/>
      <w:r w:rsidRPr="00C30264">
        <w:rPr>
          <w:sz w:val="28"/>
          <w:szCs w:val="28"/>
        </w:rPr>
        <w:t>Омскоблгаз</w:t>
      </w:r>
      <w:proofErr w:type="spellEnd"/>
      <w:r w:rsidRPr="00C30264">
        <w:rPr>
          <w:sz w:val="28"/>
          <w:szCs w:val="28"/>
        </w:rPr>
        <w:t xml:space="preserve">», АО «Уральская </w:t>
      </w:r>
      <w:proofErr w:type="spellStart"/>
      <w:r w:rsidRPr="00C30264">
        <w:rPr>
          <w:sz w:val="28"/>
          <w:szCs w:val="28"/>
        </w:rPr>
        <w:t>теплосетевая</w:t>
      </w:r>
      <w:proofErr w:type="spellEnd"/>
      <w:r w:rsidRPr="00C30264">
        <w:rPr>
          <w:sz w:val="28"/>
          <w:szCs w:val="28"/>
        </w:rPr>
        <w:t xml:space="preserve"> компания», АО «Газпром газораспределение Ставрополь», СРО НП «Гильдия проектировщиков», СРО НП «</w:t>
      </w:r>
      <w:proofErr w:type="spellStart"/>
      <w:r w:rsidRPr="00C30264">
        <w:rPr>
          <w:sz w:val="28"/>
          <w:szCs w:val="28"/>
        </w:rPr>
        <w:t>Котлогазмонтажсервис</w:t>
      </w:r>
      <w:proofErr w:type="spellEnd"/>
      <w:proofErr w:type="gramEnd"/>
      <w:r w:rsidRPr="00C30264">
        <w:rPr>
          <w:sz w:val="28"/>
          <w:szCs w:val="28"/>
        </w:rPr>
        <w:t>», ГУП МО «Мособлгаз», АО «</w:t>
      </w:r>
      <w:proofErr w:type="spellStart"/>
      <w:r w:rsidRPr="00C30264">
        <w:rPr>
          <w:sz w:val="28"/>
          <w:szCs w:val="28"/>
        </w:rPr>
        <w:t>Мосинжпроект</w:t>
      </w:r>
      <w:proofErr w:type="spellEnd"/>
      <w:r w:rsidRPr="00C30264">
        <w:rPr>
          <w:sz w:val="28"/>
          <w:szCs w:val="28"/>
        </w:rPr>
        <w:t>», содержащие ряд замечаний и предложений в отношении предлагаемого проектом акта регулирования, учтенных в настоящем заключении.</w:t>
      </w:r>
    </w:p>
    <w:p w:rsidR="009406DA" w:rsidRPr="00C30264" w:rsidRDefault="009406DA" w:rsidP="0094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По результатам рассмотрения проекта акта, свод</w:t>
      </w:r>
      <w:r>
        <w:rPr>
          <w:sz w:val="28"/>
          <w:szCs w:val="28"/>
        </w:rPr>
        <w:t>ного отчета</w:t>
      </w:r>
      <w:r w:rsidRPr="00C30264">
        <w:rPr>
          <w:sz w:val="28"/>
          <w:szCs w:val="28"/>
        </w:rPr>
        <w:t xml:space="preserve"> с учетом представленной участниками публичных консультаций по проекту акта информации Минэкономразвития России обращает внимание на наличие следующих замечаний </w:t>
      </w:r>
      <w:r w:rsidRPr="00C30264">
        <w:rPr>
          <w:sz w:val="28"/>
          <w:szCs w:val="28"/>
        </w:rPr>
        <w:br/>
        <w:t>к проекту акта.</w:t>
      </w:r>
    </w:p>
    <w:p w:rsidR="009406DA" w:rsidRPr="00C30264" w:rsidRDefault="009406DA" w:rsidP="009406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записке к проекту акта и сводному отчету</w:t>
      </w:r>
      <w:r w:rsidRPr="00C30264">
        <w:rPr>
          <w:sz w:val="28"/>
          <w:szCs w:val="28"/>
        </w:rPr>
        <w:t xml:space="preserve"> проект акта направлен на упрощение процедуры подключения (технологического </w:t>
      </w:r>
      <w:r w:rsidRPr="00C30264">
        <w:rPr>
          <w:sz w:val="28"/>
          <w:szCs w:val="28"/>
        </w:rPr>
        <w:lastRenderedPageBreak/>
        <w:t xml:space="preserve">присоединения) объектов капитального строительства к ГРС, однако принятие данного проекта акта не позволит решить эту проблему ввиду </w:t>
      </w:r>
      <w:r>
        <w:rPr>
          <w:sz w:val="28"/>
          <w:szCs w:val="28"/>
        </w:rPr>
        <w:t>наличия следующих обстоятельств.</w:t>
      </w:r>
    </w:p>
    <w:p w:rsidR="009406DA" w:rsidRDefault="009406DA" w:rsidP="009406D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Существуют риски сохранения текущих проблем при подключении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к ГРС и риски дальнейшего запутывания потребителя усложняющимися правилами подключения к разным системам, которые </w:t>
      </w:r>
      <w:r>
        <w:rPr>
          <w:sz w:val="28"/>
          <w:szCs w:val="28"/>
        </w:rPr>
        <w:t xml:space="preserve">с введением проектируемых норм </w:t>
      </w:r>
      <w:r w:rsidRPr="00C30264">
        <w:rPr>
          <w:sz w:val="28"/>
          <w:szCs w:val="28"/>
        </w:rPr>
        <w:t>будут все сильнее отличаться друг от друга.</w:t>
      </w:r>
      <w:r>
        <w:rPr>
          <w:sz w:val="28"/>
          <w:szCs w:val="28"/>
        </w:rPr>
        <w:t xml:space="preserve"> Так, Правила подключения к системам теплоснабжения</w:t>
      </w:r>
      <w:r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 xml:space="preserve">, Правила технологического присоединения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к электрическим сетям</w:t>
      </w:r>
      <w:r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 xml:space="preserve">, Правила холодного водоснабжения </w:t>
      </w:r>
      <w:r>
        <w:rPr>
          <w:sz w:val="28"/>
          <w:szCs w:val="28"/>
        </w:rPr>
        <w:br/>
        <w:t>и водоотведения</w:t>
      </w:r>
      <w:r>
        <w:rPr>
          <w:rStyle w:val="a9"/>
          <w:sz w:val="28"/>
          <w:szCs w:val="28"/>
        </w:rPr>
        <w:footnoteReference w:id="3"/>
      </w:r>
      <w:r>
        <w:rPr>
          <w:sz w:val="28"/>
          <w:szCs w:val="28"/>
        </w:rPr>
        <w:t xml:space="preserve"> содержат иные подходы и требования к технологическому присоединению (далее – ТП). </w:t>
      </w:r>
    </w:p>
    <w:p w:rsidR="009406DA" w:rsidRPr="00C30264" w:rsidRDefault="009406DA" w:rsidP="009406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0264">
        <w:rPr>
          <w:sz w:val="28"/>
          <w:szCs w:val="28"/>
        </w:rPr>
        <w:t>читаем целесообразным рассмотреть более эффективный спос</w:t>
      </w:r>
      <w:r>
        <w:rPr>
          <w:sz w:val="28"/>
          <w:szCs w:val="28"/>
        </w:rPr>
        <w:t>об решения проблемы - унификацию</w:t>
      </w:r>
      <w:r w:rsidRPr="00C30264">
        <w:rPr>
          <w:sz w:val="28"/>
          <w:szCs w:val="28"/>
        </w:rPr>
        <w:t xml:space="preserve"> требований к подключению ко всем системам коммунальной инфраструктуры, включая ГРС, тепловые сети, электрические сети, сети водоснабжения и водоотведения. 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С технологической и экономической точек зрения процедура подключения принципиально не отличается для всех систем инфраструктуры, а проблемы </w:t>
      </w:r>
      <w:proofErr w:type="spellStart"/>
      <w:r w:rsidRPr="00C30264">
        <w:rPr>
          <w:sz w:val="28"/>
          <w:szCs w:val="28"/>
        </w:rPr>
        <w:t>ресурсоснабжающих</w:t>
      </w:r>
      <w:proofErr w:type="spellEnd"/>
      <w:r w:rsidRPr="00C30264">
        <w:rPr>
          <w:sz w:val="28"/>
          <w:szCs w:val="28"/>
        </w:rPr>
        <w:t xml:space="preserve"> организаций и потребителей при подключении к разным системам очень близки.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С точки зрения потребителя большое значение имеет обеспечение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в комфортный срок доступа ко всем системам коммунальной инфраструктуры, а не подключение к какой-либо одной из них. Потребителю важно иметь единый перечень требований, в том числе по срокам рассмотрения заявок; составу документов к заявке и требований к ним, условиям внесения платы за подключение, </w:t>
      </w:r>
      <w:r w:rsidRPr="00C30264">
        <w:rPr>
          <w:sz w:val="28"/>
          <w:szCs w:val="28"/>
        </w:rPr>
        <w:lastRenderedPageBreak/>
        <w:t>составу обязательных требований в договорах на подключение и срокам их исполнения.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Также важно обеспечить застройщику возможность обращения в «одно окно», когда застройщик направляет единый пакет документов для всех </w:t>
      </w:r>
      <w:proofErr w:type="spellStart"/>
      <w:r w:rsidRPr="00C30264">
        <w:rPr>
          <w:sz w:val="28"/>
          <w:szCs w:val="28"/>
        </w:rPr>
        <w:t>ресурсоснабжающих</w:t>
      </w:r>
      <w:proofErr w:type="spellEnd"/>
      <w:r w:rsidRPr="00C30264">
        <w:rPr>
          <w:sz w:val="28"/>
          <w:szCs w:val="28"/>
        </w:rPr>
        <w:t xml:space="preserve"> организаций и в единые сроки получает от них </w:t>
      </w:r>
      <w:r>
        <w:rPr>
          <w:sz w:val="28"/>
          <w:szCs w:val="28"/>
        </w:rPr>
        <w:t xml:space="preserve">технические условия (далее – </w:t>
      </w:r>
      <w:r w:rsidRPr="00C30264">
        <w:rPr>
          <w:sz w:val="28"/>
          <w:szCs w:val="28"/>
        </w:rPr>
        <w:t>ТУ</w:t>
      </w:r>
      <w:r>
        <w:rPr>
          <w:sz w:val="28"/>
          <w:szCs w:val="28"/>
        </w:rPr>
        <w:t>)</w:t>
      </w:r>
      <w:r w:rsidRPr="00C30264">
        <w:rPr>
          <w:sz w:val="28"/>
          <w:szCs w:val="28"/>
        </w:rPr>
        <w:t xml:space="preserve"> и договор о подключении.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Такой подход позволит значительно упростить процедуру планирования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и реализации подключения объектов строительства для застройщика. </w:t>
      </w:r>
    </w:p>
    <w:p w:rsidR="009406DA" w:rsidRDefault="009406DA" w:rsidP="0094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С учетом вышеизложенного, предлагается в рамках унификации процедуры подключения предусмотреть единый перечень подаваемых заявителем документов, единые сроки подключения, единую упрощенную процедуру получения разрешения на строительство и процедуру регистрации линейных объектов</w:t>
      </w:r>
      <w:r>
        <w:rPr>
          <w:sz w:val="28"/>
          <w:szCs w:val="28"/>
        </w:rPr>
        <w:t xml:space="preserve">. </w:t>
      </w:r>
    </w:p>
    <w:p w:rsidR="009406DA" w:rsidRPr="000F65DB" w:rsidRDefault="009406DA" w:rsidP="009406D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акта не решается проблема ограничения права</w:t>
      </w:r>
      <w:r w:rsidRPr="000F65DB">
        <w:rPr>
          <w:sz w:val="28"/>
          <w:szCs w:val="28"/>
        </w:rPr>
        <w:t xml:space="preserve"> иных организаций осуществлять подключение потребителей к сетям газораспределения. На практике именно огра</w:t>
      </w:r>
      <w:r>
        <w:rPr>
          <w:sz w:val="28"/>
          <w:szCs w:val="28"/>
        </w:rPr>
        <w:t>ничение конкуренции и монопольное положение</w:t>
      </w:r>
      <w:r w:rsidRPr="000F65DB">
        <w:rPr>
          <w:sz w:val="28"/>
          <w:szCs w:val="28"/>
        </w:rPr>
        <w:t xml:space="preserve"> газораспределительных организаций (далее – ГРО) приводят к повышению суммарной стоимости за подключение к ГРС. Проект</w:t>
      </w:r>
      <w:r>
        <w:rPr>
          <w:sz w:val="28"/>
          <w:szCs w:val="28"/>
        </w:rPr>
        <w:t>ом</w:t>
      </w:r>
      <w:r w:rsidRPr="000F65DB">
        <w:rPr>
          <w:sz w:val="28"/>
          <w:szCs w:val="28"/>
        </w:rPr>
        <w:t xml:space="preserve"> акта не </w:t>
      </w:r>
      <w:r>
        <w:rPr>
          <w:sz w:val="28"/>
          <w:szCs w:val="28"/>
        </w:rPr>
        <w:t>выполняется</w:t>
      </w:r>
      <w:r w:rsidRPr="000F65D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а, поставленная</w:t>
      </w:r>
      <w:r w:rsidRPr="000F65DB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1 </w:t>
      </w:r>
      <w:r w:rsidRPr="000F65DB">
        <w:rPr>
          <w:sz w:val="28"/>
          <w:szCs w:val="28"/>
        </w:rPr>
        <w:t>пункта 1 Плана мероприятий</w:t>
      </w:r>
      <w:r>
        <w:rPr>
          <w:sz w:val="28"/>
          <w:szCs w:val="28"/>
        </w:rPr>
        <w:t>, а именно предоставление иным организациям права осуществлять подключение потребителей к ГРС (в части газопроводов-отводов) с получением разрешения на ввод в эксплуатацию</w:t>
      </w:r>
      <w:r w:rsidRPr="000F65DB">
        <w:rPr>
          <w:sz w:val="28"/>
          <w:szCs w:val="28"/>
        </w:rPr>
        <w:t>.</w:t>
      </w:r>
    </w:p>
    <w:p w:rsidR="009406DA" w:rsidRPr="00C30264" w:rsidRDefault="009406DA" w:rsidP="009406DA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Проект акта не предусматривает сокращение сроков осуществления мероприятий по подключению, что существенно </w:t>
      </w:r>
      <w:r>
        <w:rPr>
          <w:sz w:val="28"/>
          <w:szCs w:val="28"/>
        </w:rPr>
        <w:t xml:space="preserve">замедляет </w:t>
      </w:r>
      <w:r w:rsidRPr="00C30264">
        <w:rPr>
          <w:sz w:val="28"/>
          <w:szCs w:val="28"/>
        </w:rPr>
        <w:t xml:space="preserve">строительство ГРС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и подключение новых потребителей. Предложенные проектом акта сокращения некоторых процедурных </w:t>
      </w:r>
      <w:proofErr w:type="gramStart"/>
      <w:r w:rsidRPr="00C30264">
        <w:rPr>
          <w:sz w:val="28"/>
          <w:szCs w:val="28"/>
        </w:rPr>
        <w:t>вопросов</w:t>
      </w:r>
      <w:proofErr w:type="gramEnd"/>
      <w:r w:rsidRPr="00C30264">
        <w:rPr>
          <w:sz w:val="28"/>
          <w:szCs w:val="28"/>
        </w:rPr>
        <w:t xml:space="preserve"> </w:t>
      </w:r>
      <w:r>
        <w:rPr>
          <w:sz w:val="28"/>
          <w:szCs w:val="28"/>
        </w:rPr>
        <w:t>по мнению участников публичных консультаций, в действительности сократят</w:t>
      </w:r>
      <w:r w:rsidRPr="00C30264">
        <w:rPr>
          <w:sz w:val="28"/>
          <w:szCs w:val="28"/>
        </w:rPr>
        <w:t xml:space="preserve"> прохождение процедуры </w:t>
      </w:r>
      <w:r>
        <w:rPr>
          <w:sz w:val="28"/>
          <w:szCs w:val="28"/>
        </w:rPr>
        <w:t xml:space="preserve">ТП </w:t>
      </w:r>
      <w:r w:rsidRPr="00C30264">
        <w:rPr>
          <w:sz w:val="28"/>
          <w:szCs w:val="28"/>
        </w:rPr>
        <w:t>всего на два дня.</w:t>
      </w:r>
    </w:p>
    <w:p w:rsidR="009406DA" w:rsidRPr="00C30264" w:rsidRDefault="009406DA" w:rsidP="009406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30264">
        <w:rPr>
          <w:sz w:val="28"/>
          <w:szCs w:val="28"/>
        </w:rPr>
        <w:t xml:space="preserve">Проектируемое регулирование не предусматривает механизма возмещения затрат заявителей, которые финансируют мероприятия, направленные не только на подключение возводимого объекта капитального строительства, но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и на развитие ГРС для других потребителей, что также снижает инвестиционную активность </w:t>
      </w:r>
      <w:r>
        <w:rPr>
          <w:sz w:val="28"/>
          <w:szCs w:val="28"/>
        </w:rPr>
        <w:t xml:space="preserve">представителей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 при осуществлении ТП</w:t>
      </w:r>
      <w:r w:rsidRPr="00C30264">
        <w:rPr>
          <w:sz w:val="28"/>
          <w:szCs w:val="28"/>
        </w:rPr>
        <w:t>.</w:t>
      </w:r>
    </w:p>
    <w:p w:rsidR="009406DA" w:rsidRPr="00C30264" w:rsidRDefault="009406DA" w:rsidP="009406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</w:t>
      </w:r>
      <w:r w:rsidRPr="00C30264">
        <w:rPr>
          <w:sz w:val="28"/>
          <w:szCs w:val="28"/>
        </w:rPr>
        <w:t xml:space="preserve">подпункте «в» пункта 2 проекта акта указывается, что к запросу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ТУ</w:t>
      </w:r>
      <w:r w:rsidRPr="00C30264">
        <w:rPr>
          <w:sz w:val="28"/>
          <w:szCs w:val="28"/>
        </w:rPr>
        <w:t xml:space="preserve"> наряду с ситуационным планом должна также прилагаться копия кадастрового паспорта земельного участка или иного документа</w:t>
      </w:r>
      <w:r>
        <w:rPr>
          <w:sz w:val="28"/>
          <w:szCs w:val="28"/>
        </w:rPr>
        <w:t>,</w:t>
      </w:r>
      <w:r w:rsidRPr="00C30264">
        <w:rPr>
          <w:sz w:val="28"/>
          <w:szCs w:val="28"/>
        </w:rPr>
        <w:t xml:space="preserve"> содержащего описание объектов недвижимости. 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Считаем, что указанное требование избыточно и предлагаем его исключить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с учетом того, что заявителем предоставляется ситуационный план расположения земельного участка. Кроме того, именно ситуационный план используется как термин и документ в правилах </w:t>
      </w:r>
      <w:r>
        <w:rPr>
          <w:sz w:val="28"/>
          <w:szCs w:val="28"/>
        </w:rPr>
        <w:t>ТП</w:t>
      </w:r>
      <w:r w:rsidRPr="00C30264">
        <w:rPr>
          <w:sz w:val="28"/>
          <w:szCs w:val="28"/>
        </w:rPr>
        <w:t xml:space="preserve"> других ресурсов. </w:t>
      </w:r>
      <w:r>
        <w:rPr>
          <w:sz w:val="28"/>
          <w:szCs w:val="28"/>
        </w:rPr>
        <w:t>Аналогично предлагаем исключить требование о предоставлении кадастрового плана из подпункта «с» пункта 2 проекта акта.</w:t>
      </w:r>
    </w:p>
    <w:p w:rsidR="009406DA" w:rsidRDefault="009406DA" w:rsidP="009406D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 xml:space="preserve">Подпунктом «б» пункта 2 проекта акта вносятся изменения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в терминологию постановления Правительства Российской Федерации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от 30 декабря 2013 г.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(далее </w:t>
      </w:r>
      <w:r>
        <w:rPr>
          <w:sz w:val="28"/>
          <w:szCs w:val="28"/>
        </w:rPr>
        <w:t xml:space="preserve">- </w:t>
      </w:r>
      <w:r w:rsidRPr="00C30264">
        <w:rPr>
          <w:sz w:val="28"/>
          <w:szCs w:val="28"/>
        </w:rPr>
        <w:t xml:space="preserve">Правила подключения, Постановление № 1314 соответственно). </w:t>
      </w:r>
      <w:proofErr w:type="gramEnd"/>
    </w:p>
    <w:p w:rsidR="009406DA" w:rsidRPr="00C30264" w:rsidRDefault="009406DA" w:rsidP="0094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Считаем целесообразным определение понятия «ситуационный план» привести в соответствие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Положения о составе разделов проектной документации и требованиях к их содержанию, утвержденных постановлением Правительства Российской Федерации от 16 февраля 2008 г. № 87, исключив из него, в том числе привязку к объектам капитального строительства населенных пунктов, так как ТП может происходить и за пределами границ населенных пунктов.</w:t>
      </w:r>
      <w:proofErr w:type="gramEnd"/>
    </w:p>
    <w:p w:rsidR="009406DA" w:rsidRPr="00C30264" w:rsidRDefault="009406DA" w:rsidP="009406D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того</w:t>
      </w:r>
      <w:r w:rsidRPr="00C30264">
        <w:rPr>
          <w:sz w:val="28"/>
          <w:szCs w:val="28"/>
        </w:rPr>
        <w:t xml:space="preserve">, обращаем внимание на необходимость изменения </w:t>
      </w:r>
      <w:r>
        <w:rPr>
          <w:sz w:val="28"/>
          <w:szCs w:val="28"/>
        </w:rPr>
        <w:t>определений понятий</w:t>
      </w:r>
      <w:r w:rsidRPr="00C30264">
        <w:rPr>
          <w:sz w:val="28"/>
          <w:szCs w:val="28"/>
        </w:rPr>
        <w:t xml:space="preserve"> «подключение», «исполнитель» </w:t>
      </w:r>
      <w:r>
        <w:rPr>
          <w:sz w:val="28"/>
          <w:szCs w:val="28"/>
        </w:rPr>
        <w:t xml:space="preserve">в </w:t>
      </w:r>
      <w:r w:rsidRPr="00C30264">
        <w:rPr>
          <w:sz w:val="28"/>
          <w:szCs w:val="28"/>
        </w:rPr>
        <w:t>действующей редакции Правил подключения.</w:t>
      </w:r>
    </w:p>
    <w:p w:rsidR="009406DA" w:rsidRDefault="009406DA" w:rsidP="009406D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Так, </w:t>
      </w:r>
      <w:r>
        <w:rPr>
          <w:sz w:val="28"/>
          <w:szCs w:val="28"/>
        </w:rPr>
        <w:t>определение понятия</w:t>
      </w:r>
      <w:r w:rsidRPr="00C30264">
        <w:rPr>
          <w:sz w:val="28"/>
          <w:szCs w:val="28"/>
        </w:rPr>
        <w:t xml:space="preserve"> «подключение» в Постановлении № 1314 предусматривает совокупность организационных и технических действий, включающих все мероприятия, начиная с выдачи ТУ и заканчивая подписанием </w:t>
      </w:r>
      <w:r w:rsidRPr="00C30264">
        <w:rPr>
          <w:sz w:val="28"/>
          <w:szCs w:val="28"/>
        </w:rPr>
        <w:lastRenderedPageBreak/>
        <w:t xml:space="preserve">актов имущественной и эксплуатационной ответственности, в том числе проектирование и строительство ГРС и сетей газопотребления. </w:t>
      </w:r>
    </w:p>
    <w:p w:rsidR="009406DA" w:rsidRPr="00C30264" w:rsidRDefault="009406DA" w:rsidP="009406D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Исполнителем по определению Правил подключения </w:t>
      </w:r>
      <w:r>
        <w:rPr>
          <w:sz w:val="28"/>
          <w:szCs w:val="28"/>
        </w:rPr>
        <w:t>является</w:t>
      </w:r>
      <w:r w:rsidRPr="00C30264">
        <w:rPr>
          <w:sz w:val="28"/>
          <w:szCs w:val="28"/>
        </w:rPr>
        <w:t xml:space="preserve"> ГРО, тем самым не позволяя заказчику реализовать законодательно предусмотренное право выбора подрядчика, а проектировщикам и строителям - право выполнять работу на основании прямого договора с заказчиком.</w:t>
      </w:r>
    </w:p>
    <w:p w:rsidR="009406DA" w:rsidRPr="00C30264" w:rsidRDefault="009406DA" w:rsidP="009406DA">
      <w:pPr>
        <w:pStyle w:val="aa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264">
        <w:rPr>
          <w:rFonts w:ascii="Times New Roman" w:hAnsi="Times New Roman"/>
          <w:sz w:val="28"/>
          <w:szCs w:val="28"/>
          <w:lang w:eastAsia="ru-RU"/>
        </w:rPr>
        <w:t xml:space="preserve">Вместе с тем отмечаем, что основной задачей ГРО, согласно требованиям законодательства Российской Федерации, является обеспечение безопасного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30264">
        <w:rPr>
          <w:rFonts w:ascii="Times New Roman" w:hAnsi="Times New Roman"/>
          <w:sz w:val="28"/>
          <w:szCs w:val="28"/>
          <w:lang w:eastAsia="ru-RU"/>
        </w:rPr>
        <w:t xml:space="preserve">и бесперебойного газоснабжения, то есть эксплуатация газораспределительных систем, а не проектирование, строительство и </w:t>
      </w:r>
      <w:r>
        <w:rPr>
          <w:rFonts w:ascii="Times New Roman" w:hAnsi="Times New Roman"/>
          <w:sz w:val="28"/>
          <w:szCs w:val="28"/>
          <w:lang w:eastAsia="ru-RU"/>
        </w:rPr>
        <w:t>так далее</w:t>
      </w:r>
      <w:r w:rsidRPr="00C30264">
        <w:rPr>
          <w:rFonts w:ascii="Times New Roman" w:hAnsi="Times New Roman"/>
          <w:sz w:val="28"/>
          <w:szCs w:val="28"/>
          <w:lang w:eastAsia="ru-RU"/>
        </w:rPr>
        <w:t>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>Также считаем целесообразным дать определения терминам «сеть газопотребления» и «сеть газораспределения»</w:t>
      </w:r>
      <w:r>
        <w:rPr>
          <w:sz w:val="28"/>
          <w:szCs w:val="28"/>
        </w:rPr>
        <w:t xml:space="preserve"> для целей Постановления № 1314 либо привести их в соответствие</w:t>
      </w:r>
      <w:r w:rsidRPr="00C30264">
        <w:rPr>
          <w:sz w:val="28"/>
          <w:szCs w:val="28"/>
        </w:rPr>
        <w:t xml:space="preserve"> в связи с тем, что данные понятия, предусмотренные постановлением Правительства Российской Федерации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от 29 октября 2010 г. № 870 «Об утверждении технического регламента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о безопасности сетей газораспределения и газопотребления», не соответствуют смыслу отдельных положений Постановления № 1314 (точка подключения, границы ответственности заявителя</w:t>
      </w:r>
      <w:proofErr w:type="gramEnd"/>
      <w:r w:rsidRPr="00C30264">
        <w:rPr>
          <w:sz w:val="28"/>
          <w:szCs w:val="28"/>
        </w:rPr>
        <w:t xml:space="preserve"> и исполнителя при реализации мероприятий по подключению, и т.п.).</w:t>
      </w:r>
    </w:p>
    <w:p w:rsidR="009406DA" w:rsidRPr="00C30264" w:rsidRDefault="009406DA" w:rsidP="009406D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>В соответствии с подпунктом «л» пункта 2 проекта акта в случае</w:t>
      </w:r>
      <w:r>
        <w:rPr>
          <w:sz w:val="28"/>
          <w:szCs w:val="28"/>
        </w:rPr>
        <w:t>,</w:t>
      </w:r>
      <w:r w:rsidRPr="00C30264">
        <w:rPr>
          <w:sz w:val="28"/>
          <w:szCs w:val="28"/>
        </w:rPr>
        <w:t xml:space="preserve"> если на одной территории деятельность по транспортировке газа по ГРС осуществляют две и более ГРО, </w:t>
      </w:r>
      <w:r>
        <w:rPr>
          <w:sz w:val="28"/>
          <w:szCs w:val="28"/>
        </w:rPr>
        <w:t xml:space="preserve">то </w:t>
      </w:r>
      <w:r w:rsidRPr="00C30264">
        <w:rPr>
          <w:sz w:val="28"/>
          <w:szCs w:val="28"/>
        </w:rPr>
        <w:t>такие ГРО обязаны извещать смежные ГРО о выдаче ТУ на подключение для целей определения технической возможности подключения объектов капитального строительства к технологически связанным ГРС.</w:t>
      </w:r>
      <w:proofErr w:type="gramEnd"/>
    </w:p>
    <w:p w:rsidR="009406DA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>Вместе с тем остается неясным, что подразумевается под «территорией» (границы субъекта Российской Федерации, муниципального образования, поселения и т.п.), каков должен быть порядок извещения ГРО технологическ</w:t>
      </w:r>
      <w:r>
        <w:rPr>
          <w:sz w:val="28"/>
          <w:szCs w:val="28"/>
        </w:rPr>
        <w:t>и связанных сетей о выданных ТУ.</w:t>
      </w:r>
      <w:proofErr w:type="gramEnd"/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lastRenderedPageBreak/>
        <w:t>Кроме того, обращаем внимание разработчика, что если извещение ГРО предусмотрено по факту выдачи ТУ, то техническая возможность подключения уже установлена.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Считаем целесообразным доработать подпункт «л» пункта 2 проекта акта </w:t>
      </w:r>
      <w:r w:rsidRPr="00C30264">
        <w:rPr>
          <w:sz w:val="28"/>
          <w:szCs w:val="28"/>
        </w:rPr>
        <w:br/>
        <w:t>в указанной настоящим замечанием части.</w:t>
      </w:r>
    </w:p>
    <w:p w:rsidR="009406DA" w:rsidRPr="00C30264" w:rsidRDefault="009406DA" w:rsidP="009406D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Подпункт «</w:t>
      </w:r>
      <w:proofErr w:type="spellStart"/>
      <w:r w:rsidRPr="00C30264">
        <w:rPr>
          <w:sz w:val="28"/>
          <w:szCs w:val="28"/>
        </w:rPr>
        <w:t>р</w:t>
      </w:r>
      <w:proofErr w:type="spellEnd"/>
      <w:r w:rsidRPr="00C30264">
        <w:rPr>
          <w:sz w:val="28"/>
          <w:szCs w:val="28"/>
        </w:rPr>
        <w:t>» пункта 2 проекта акта предусматривает дополнение Правил подключения новым пунктом 61.2 следующего содержания: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«61.2. В случае увеличения объема потребления газа, при замене газоиспользующего оборудования не требующей увеличения пропускной способности газопровода-ввода, заявитель направляет исполнителю уведомление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об изменении объема потребления газа в течение 5-и рабочих дней с момента его замены</w:t>
      </w:r>
      <w:proofErr w:type="gramStart"/>
      <w:r w:rsidRPr="00C30264">
        <w:rPr>
          <w:sz w:val="28"/>
          <w:szCs w:val="28"/>
        </w:rPr>
        <w:t>.».</w:t>
      </w:r>
      <w:proofErr w:type="gramEnd"/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Представляется целесообразным конкретизировать представленную формулировку, поскольку заявитель не имеет возможности определить, потребуется ли увеличение пропускной способности газопровода-ввода в случае увеличения объема потребления газа, при замене газоиспользующего оборудования.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Кроме того, увеличение объема потребления газа независимо от пропускной способности газопровода-ввода соразмерно увеличит фактическую рабочую нагрузку на газораспределительную систему в целом.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Увеличение фактической рабочей нагрузки на газораспределительную систему без контроля со стороны ГРО, осуществляющей ее эксплуатацию, негативным образом повлияет на безопасность и надежность газоснабжения существующих потребителей.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Учитывая </w:t>
      </w:r>
      <w:proofErr w:type="gramStart"/>
      <w:r w:rsidRPr="00C30264">
        <w:rPr>
          <w:sz w:val="28"/>
          <w:szCs w:val="28"/>
        </w:rPr>
        <w:t>изложенное</w:t>
      </w:r>
      <w:proofErr w:type="gramEnd"/>
      <w:r w:rsidRPr="00C30264">
        <w:rPr>
          <w:sz w:val="28"/>
          <w:szCs w:val="28"/>
        </w:rPr>
        <w:t xml:space="preserve">, предлагается рассмотреть </w:t>
      </w:r>
      <w:r>
        <w:rPr>
          <w:sz w:val="28"/>
          <w:szCs w:val="28"/>
        </w:rPr>
        <w:t>механизм определения потребности</w:t>
      </w:r>
      <w:r w:rsidRPr="00C30264">
        <w:rPr>
          <w:sz w:val="28"/>
          <w:szCs w:val="28"/>
        </w:rPr>
        <w:t xml:space="preserve"> увеличения пропускно</w:t>
      </w:r>
      <w:r>
        <w:rPr>
          <w:sz w:val="28"/>
          <w:szCs w:val="28"/>
        </w:rPr>
        <w:t>й способности газопровода-ввода</w:t>
      </w:r>
      <w:r w:rsidRPr="00C3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(расчетным путем либо </w:t>
      </w:r>
      <w:r w:rsidRPr="00C30264">
        <w:rPr>
          <w:i/>
          <w:sz w:val="28"/>
          <w:szCs w:val="28"/>
        </w:rPr>
        <w:t>на основании технических условий</w:t>
      </w:r>
      <w:r w:rsidRPr="00C30264">
        <w:rPr>
          <w:sz w:val="28"/>
          <w:szCs w:val="28"/>
        </w:rPr>
        <w:t xml:space="preserve">, выдаваемых исполнителем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в порядке, установленном разделом II Правил подключения</w:t>
      </w:r>
      <w:r>
        <w:rPr>
          <w:sz w:val="28"/>
          <w:szCs w:val="28"/>
        </w:rPr>
        <w:t>)</w:t>
      </w:r>
      <w:r w:rsidRPr="00C30264">
        <w:rPr>
          <w:sz w:val="28"/>
          <w:szCs w:val="28"/>
        </w:rPr>
        <w:t>.</w:t>
      </w:r>
    </w:p>
    <w:p w:rsidR="009406DA" w:rsidRPr="00611177" w:rsidRDefault="009406DA" w:rsidP="009406D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Подпунктом «с» пункта 2 проекта акта </w:t>
      </w:r>
      <w:r>
        <w:rPr>
          <w:sz w:val="28"/>
          <w:szCs w:val="28"/>
        </w:rPr>
        <w:t>предлагается дополнить п</w:t>
      </w:r>
      <w:r w:rsidRPr="00611177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документов прилагаемых к заявке о ТП </w:t>
      </w:r>
      <w:r w:rsidRPr="00611177">
        <w:rPr>
          <w:sz w:val="28"/>
          <w:szCs w:val="28"/>
        </w:rPr>
        <w:t>рядом следующих документов: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lastRenderedPageBreak/>
        <w:t>- копией кадастрового плана земельного участка, или технического паспорта, или иного документа (при наличии), содержащего описание объектов недвижимости;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- согласием основного абонента на подключение (технологическое присоединение) </w:t>
      </w:r>
      <w:proofErr w:type="gramStart"/>
      <w:r w:rsidRPr="00C30264">
        <w:rPr>
          <w:sz w:val="28"/>
          <w:szCs w:val="28"/>
        </w:rPr>
        <w:t>к</w:t>
      </w:r>
      <w:proofErr w:type="gramEnd"/>
      <w:r w:rsidRPr="00C30264">
        <w:rPr>
          <w:sz w:val="28"/>
          <w:szCs w:val="28"/>
        </w:rPr>
        <w:t xml:space="preserve"> принадлежащей ему на законных основаниях ГРС и (или) газопотребления в установленных Правилами подключения случаях;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- копией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иными документами, подтверждающими параметры его подключения (технологического присоединения), и заверенной сторонами копией заключенного соглашения об уступке права на использование мощности, а также документами, удостоверяющими размер снижения потребления газа.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Вместе с тем к запросу о предоставлении ТУ </w:t>
      </w:r>
      <w:r>
        <w:rPr>
          <w:sz w:val="28"/>
          <w:szCs w:val="28"/>
        </w:rPr>
        <w:t xml:space="preserve">согласно подпункту «в» пункта 2 проекта акта </w:t>
      </w:r>
      <w:r w:rsidRPr="00C30264">
        <w:rPr>
          <w:sz w:val="28"/>
          <w:szCs w:val="28"/>
        </w:rPr>
        <w:t>прилагаются те же документы.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Учитывая, что в ГРО такие документы уже есть, считаем требование об их повторном направлении излишним.</w:t>
      </w:r>
    </w:p>
    <w:p w:rsidR="009406DA" w:rsidRPr="00C30264" w:rsidRDefault="009406DA" w:rsidP="009406D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В соответствии с подпунктом «у» пункта 2 проекта акта договор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о подключении должен содержать обязанность заявителя при необходимости подключения объекта капитального строительства заявителя, расположенного на территории земельного участка, находящегося в собственности третьих лиц, предоставить исполнителю согласование третьих лиц об использовании земельного участка на период строительства объектов сетей инженерно-технического обеспечения.</w:t>
      </w:r>
    </w:p>
    <w:p w:rsidR="009406DA" w:rsidRPr="00C30264" w:rsidRDefault="009406DA" w:rsidP="009406DA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Вместе с тем остается неясным, как будет осуществляться прохождение ГРС по территории владельцев земельных участков, ко</w:t>
      </w:r>
      <w:r>
        <w:rPr>
          <w:sz w:val="28"/>
          <w:szCs w:val="28"/>
        </w:rPr>
        <w:t>торые не дали свое согласование.</w:t>
      </w:r>
    </w:p>
    <w:p w:rsidR="009406DA" w:rsidRPr="00C30264" w:rsidRDefault="009406DA" w:rsidP="009406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В соответствии с подпунктом «</w:t>
      </w:r>
      <w:proofErr w:type="spellStart"/>
      <w:r w:rsidRPr="00C30264">
        <w:rPr>
          <w:sz w:val="28"/>
          <w:szCs w:val="28"/>
        </w:rPr>
        <w:t>щ</w:t>
      </w:r>
      <w:proofErr w:type="spellEnd"/>
      <w:r w:rsidRPr="00C30264">
        <w:rPr>
          <w:sz w:val="28"/>
          <w:szCs w:val="28"/>
        </w:rPr>
        <w:t xml:space="preserve">» пункта 2 предлагается дополнить главой </w:t>
      </w:r>
      <w:r w:rsidRPr="00C30264">
        <w:rPr>
          <w:sz w:val="28"/>
          <w:szCs w:val="28"/>
          <w:lang w:val="en-US"/>
        </w:rPr>
        <w:t>VIII</w:t>
      </w:r>
      <w:r w:rsidRPr="00C30264">
        <w:rPr>
          <w:sz w:val="28"/>
          <w:szCs w:val="28"/>
        </w:rPr>
        <w:t xml:space="preserve"> Постановление № 1314, регулирующей особенности подачи коллективных заявок на подключение к ГРС.</w:t>
      </w:r>
    </w:p>
    <w:p w:rsidR="009406DA" w:rsidRPr="00C30264" w:rsidRDefault="009406DA" w:rsidP="009406DA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Так, согласно пункту 113 проектируемой</w:t>
      </w:r>
      <w:r w:rsidRPr="00C30264">
        <w:rPr>
          <w:sz w:val="28"/>
          <w:szCs w:val="28"/>
        </w:rPr>
        <w:t xml:space="preserve"> главы </w:t>
      </w:r>
      <w:r w:rsidRPr="00C30264">
        <w:rPr>
          <w:sz w:val="28"/>
          <w:szCs w:val="28"/>
          <w:lang w:val="en-US"/>
        </w:rPr>
        <w:t>VIII</w:t>
      </w:r>
      <w:r w:rsidRPr="00C30264">
        <w:rPr>
          <w:sz w:val="28"/>
          <w:szCs w:val="28"/>
        </w:rPr>
        <w:t xml:space="preserve"> в случае необходимости подключения (технологического присоединения) к ГРС нескольких </w:t>
      </w:r>
      <w:r w:rsidRPr="00C30264">
        <w:rPr>
          <w:sz w:val="28"/>
          <w:szCs w:val="28"/>
        </w:rPr>
        <w:lastRenderedPageBreak/>
        <w:t xml:space="preserve">объектов капитального строительства, принадлежащих различным заявителям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и расположенных в одном кадастровом районе населенного пункта, при условии создания единой ГРС, к которой предполагается подключение всех указанных объектов, заявка о подключении (технологическом присоединении) может быть подана от нескольких заявителей совместно в лице одного уполномоченного заявителя (коллективная</w:t>
      </w:r>
      <w:proofErr w:type="gramEnd"/>
      <w:r w:rsidRPr="00C30264">
        <w:rPr>
          <w:sz w:val="28"/>
          <w:szCs w:val="28"/>
        </w:rPr>
        <w:t xml:space="preserve"> заявка на получение технических условий и (или) заключение договоров). </w:t>
      </w:r>
    </w:p>
    <w:p w:rsidR="009406DA" w:rsidRPr="00C30264" w:rsidRDefault="009406DA" w:rsidP="009406DA">
      <w:pPr>
        <w:spacing w:line="360" w:lineRule="auto"/>
        <w:ind w:firstLine="708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Ввиду того, что имеются случаи расположения объектов капитального строительства за границами населенных пунктов или в границах разных населенных пунктов, лица, объекты капитального строительства которых расположены подобным образом не смогут участвовать в подаче коллективной заявки. 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Учитывая </w:t>
      </w:r>
      <w:proofErr w:type="gramStart"/>
      <w:r w:rsidRPr="00C30264">
        <w:rPr>
          <w:sz w:val="28"/>
          <w:szCs w:val="28"/>
        </w:rPr>
        <w:t>изложенное</w:t>
      </w:r>
      <w:proofErr w:type="gramEnd"/>
      <w:r w:rsidRPr="00C30264">
        <w:rPr>
          <w:sz w:val="28"/>
          <w:szCs w:val="28"/>
        </w:rPr>
        <w:t xml:space="preserve">, считаем целесообразным исключить слова </w:t>
      </w:r>
      <w:r w:rsidRPr="00C30264">
        <w:rPr>
          <w:sz w:val="28"/>
          <w:szCs w:val="28"/>
        </w:rPr>
        <w:br/>
        <w:t>«и расположенных в одном кадастровом районе населенного пункта</w:t>
      </w:r>
      <w:r>
        <w:rPr>
          <w:sz w:val="28"/>
          <w:szCs w:val="28"/>
        </w:rPr>
        <w:t>» из редакции пункта 113 проектируемой</w:t>
      </w:r>
      <w:r w:rsidRPr="00C30264">
        <w:rPr>
          <w:sz w:val="28"/>
          <w:szCs w:val="28"/>
        </w:rPr>
        <w:t xml:space="preserve"> главы </w:t>
      </w:r>
      <w:r w:rsidRPr="00C30264">
        <w:rPr>
          <w:sz w:val="28"/>
          <w:szCs w:val="28"/>
          <w:lang w:val="en-US"/>
        </w:rPr>
        <w:t>VIII</w:t>
      </w:r>
      <w:r w:rsidRPr="00C30264">
        <w:rPr>
          <w:sz w:val="28"/>
          <w:szCs w:val="28"/>
        </w:rPr>
        <w:t>.</w:t>
      </w:r>
    </w:p>
    <w:p w:rsidR="009406DA" w:rsidRPr="00C30264" w:rsidRDefault="009406DA" w:rsidP="009406DA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114 проектируемой</w:t>
      </w:r>
      <w:r w:rsidRPr="00C30264">
        <w:rPr>
          <w:sz w:val="28"/>
          <w:szCs w:val="28"/>
        </w:rPr>
        <w:t xml:space="preserve"> главы </w:t>
      </w:r>
      <w:r w:rsidRPr="00C30264">
        <w:rPr>
          <w:sz w:val="28"/>
          <w:szCs w:val="28"/>
          <w:lang w:val="en-US"/>
        </w:rPr>
        <w:t>VIII</w:t>
      </w:r>
      <w:r w:rsidRPr="00C30264">
        <w:rPr>
          <w:sz w:val="28"/>
          <w:szCs w:val="28"/>
        </w:rPr>
        <w:t xml:space="preserve"> предусматривает совместное внесение платы за подключение по коллективной заявке. Вместе с тем неясно</w:t>
      </w:r>
      <w:r>
        <w:rPr>
          <w:sz w:val="28"/>
          <w:szCs w:val="28"/>
        </w:rPr>
        <w:t>,</w:t>
      </w:r>
      <w:r w:rsidRPr="00C3026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в каком формате должна происходить совместная оплата за подключение (части платы, установленной договором о подключении) всеми заявителями одновременно</w:t>
      </w:r>
      <w:r>
        <w:rPr>
          <w:sz w:val="28"/>
          <w:szCs w:val="28"/>
        </w:rPr>
        <w:t>,</w:t>
      </w:r>
      <w:r w:rsidRPr="00C30264">
        <w:rPr>
          <w:sz w:val="28"/>
          <w:szCs w:val="28"/>
        </w:rPr>
        <w:t xml:space="preserve"> уполномоченным лицом одним платежом от имени всех заявителей либо обязательство по внесению платежа за подключение является солидарным.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Считаем целесообразным ко</w:t>
      </w:r>
      <w:r>
        <w:rPr>
          <w:sz w:val="28"/>
          <w:szCs w:val="28"/>
        </w:rPr>
        <w:t>нкретизировать пункт 114 проектируемой</w:t>
      </w:r>
      <w:r w:rsidRPr="00C30264">
        <w:rPr>
          <w:sz w:val="28"/>
          <w:szCs w:val="28"/>
        </w:rPr>
        <w:t xml:space="preserve"> главы </w:t>
      </w:r>
      <w:r w:rsidRPr="00C30264">
        <w:rPr>
          <w:sz w:val="28"/>
          <w:szCs w:val="28"/>
          <w:lang w:val="en-US"/>
        </w:rPr>
        <w:t>VIII</w:t>
      </w:r>
      <w:r w:rsidRPr="00C30264">
        <w:rPr>
          <w:sz w:val="28"/>
          <w:szCs w:val="28"/>
        </w:rPr>
        <w:t xml:space="preserve"> в указанной части.</w:t>
      </w:r>
    </w:p>
    <w:p w:rsidR="009406DA" w:rsidRPr="00C30264" w:rsidRDefault="009406DA" w:rsidP="009406D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>Согласно пункту 124</w:t>
      </w:r>
      <w:r>
        <w:rPr>
          <w:sz w:val="28"/>
          <w:szCs w:val="28"/>
        </w:rPr>
        <w:t xml:space="preserve"> проектируемой</w:t>
      </w:r>
      <w:r w:rsidRPr="00C30264">
        <w:rPr>
          <w:sz w:val="28"/>
          <w:szCs w:val="28"/>
        </w:rPr>
        <w:t xml:space="preserve"> главы </w:t>
      </w:r>
      <w:r w:rsidRPr="00C30264">
        <w:rPr>
          <w:sz w:val="28"/>
          <w:szCs w:val="28"/>
          <w:lang w:val="en-US"/>
        </w:rPr>
        <w:t>VIII</w:t>
      </w:r>
      <w:r w:rsidRPr="00C30264">
        <w:rPr>
          <w:sz w:val="28"/>
          <w:szCs w:val="28"/>
        </w:rPr>
        <w:t xml:space="preserve"> к запросу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 xml:space="preserve">о предоставлении ТУ, помимо документов, указанных в пункте 69 Правил подключения, предоставляется копия разработанной и утвержденной в соответствии с действующим законодательством Российской Федерации документации по планировке территории (проект планировки и проект межевания территории), предусматривающей строительство на территории, подлежащей комплексному освоению ГРС до образованных в границах данной территории земельных участков, </w:t>
      </w:r>
      <w:r w:rsidRPr="00C30264">
        <w:rPr>
          <w:sz w:val="28"/>
          <w:szCs w:val="28"/>
        </w:rPr>
        <w:lastRenderedPageBreak/>
        <w:t>на которых расположены</w:t>
      </w:r>
      <w:proofErr w:type="gramEnd"/>
      <w:r w:rsidRPr="00C30264">
        <w:rPr>
          <w:sz w:val="28"/>
          <w:szCs w:val="28"/>
        </w:rPr>
        <w:t xml:space="preserve"> объекты капитального строительства или планируется их строительство.</w:t>
      </w:r>
    </w:p>
    <w:p w:rsidR="009406DA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Согласно действующим Правилам подключения «заявитель» - юридическое или физическое лицо, являющееся правообладателем земельного участка, намеренное осуществить или осуществляющее на нем строительство (реконструкцию) объекта капитального строительства с последующим его подключением (технологическим присоединением) к ГРС или подключение (технологическое присоединение) построенного на своем земельном участке объекта капитального строительства к ГРС.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Вместе с тем отмечаем, что данные документы разрабатываются </w:t>
      </w:r>
      <w:r>
        <w:rPr>
          <w:sz w:val="28"/>
          <w:szCs w:val="28"/>
        </w:rPr>
        <w:t>органами местного самоуправления.</w:t>
      </w:r>
    </w:p>
    <w:p w:rsidR="009406DA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 xml:space="preserve">Учитывая изложенное, требование пункта 124 считаем излишним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и подлежащим исключению из проекта акта.</w:t>
      </w:r>
    </w:p>
    <w:p w:rsidR="009406DA" w:rsidRPr="00C30264" w:rsidRDefault="009406DA" w:rsidP="009406D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0264">
        <w:rPr>
          <w:sz w:val="28"/>
          <w:szCs w:val="28"/>
        </w:rPr>
        <w:t>бращаем внимание разработчика на замечание юридико-технического характера:</w:t>
      </w:r>
    </w:p>
    <w:p w:rsidR="009406DA" w:rsidRPr="00C30264" w:rsidRDefault="009406DA" w:rsidP="009406D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Подпунктом «</w:t>
      </w:r>
      <w:proofErr w:type="spellStart"/>
      <w:r w:rsidRPr="00C30264">
        <w:rPr>
          <w:sz w:val="28"/>
          <w:szCs w:val="28"/>
        </w:rPr>
        <w:t>р</w:t>
      </w:r>
      <w:proofErr w:type="spellEnd"/>
      <w:r w:rsidRPr="00C30264">
        <w:rPr>
          <w:sz w:val="28"/>
          <w:szCs w:val="28"/>
        </w:rPr>
        <w:t>» пункта 2 предлагается дополнить Постановление № 1314 пунктом 61.2., однако в действующей редакции Постановления № 1314 отсутствует пункт 61.1. С целью указания последовательной нумерации положений нормативного правового акта, считаем целесообразным вместо номера «61.2.» указать номер «61.1.».</w:t>
      </w:r>
    </w:p>
    <w:p w:rsidR="009406DA" w:rsidRPr="00C30264" w:rsidRDefault="009406DA" w:rsidP="009406DA">
      <w:pPr>
        <w:spacing w:line="360" w:lineRule="auto"/>
        <w:ind w:firstLine="70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На основе проведенной оценки регулиру</w:t>
      </w:r>
      <w:r>
        <w:rPr>
          <w:sz w:val="28"/>
          <w:szCs w:val="28"/>
        </w:rPr>
        <w:t xml:space="preserve">ющего воздействия проекта акта </w:t>
      </w:r>
      <w:r>
        <w:rPr>
          <w:sz w:val="28"/>
          <w:szCs w:val="28"/>
        </w:rPr>
        <w:br/>
      </w:r>
      <w:r w:rsidRPr="00C30264">
        <w:rPr>
          <w:sz w:val="28"/>
          <w:szCs w:val="28"/>
        </w:rPr>
        <w:t>с учетом информации, представленной разработчиком в сводном отчете, Минэкономразвития России сделаны следующие выводы.</w:t>
      </w:r>
    </w:p>
    <w:p w:rsidR="009406DA" w:rsidRPr="00C30264" w:rsidRDefault="009406DA" w:rsidP="009406DA">
      <w:pPr>
        <w:autoSpaceDE w:val="0"/>
        <w:autoSpaceDN w:val="0"/>
        <w:adjustRightInd w:val="0"/>
        <w:spacing w:line="372" w:lineRule="auto"/>
        <w:ind w:firstLine="539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Решение проблемы предложенным способом регулирования не обосновано.</w:t>
      </w:r>
    </w:p>
    <w:p w:rsidR="009406DA" w:rsidRDefault="009406DA" w:rsidP="009406DA">
      <w:pPr>
        <w:autoSpaceDE w:val="0"/>
        <w:autoSpaceDN w:val="0"/>
        <w:adjustRightInd w:val="0"/>
        <w:spacing w:line="372" w:lineRule="auto"/>
        <w:ind w:firstLine="539"/>
        <w:jc w:val="both"/>
        <w:rPr>
          <w:sz w:val="28"/>
          <w:szCs w:val="28"/>
        </w:rPr>
      </w:pPr>
      <w:proofErr w:type="gramStart"/>
      <w:r w:rsidRPr="00C30264">
        <w:rPr>
          <w:sz w:val="28"/>
          <w:szCs w:val="28"/>
        </w:rPr>
        <w:t xml:space="preserve">В проекте акта выявлены 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</w:t>
      </w:r>
      <w:r w:rsidRPr="00C30264">
        <w:rPr>
          <w:sz w:val="28"/>
          <w:szCs w:val="28"/>
        </w:rPr>
        <w:lastRenderedPageBreak/>
        <w:t>экономической деятельности, а также бюджетов всех уровней бюджетной системы Российской Федерации.</w:t>
      </w:r>
      <w:proofErr w:type="gramEnd"/>
    </w:p>
    <w:p w:rsidR="009406DA" w:rsidRPr="00C30264" w:rsidRDefault="009406DA" w:rsidP="009406DA">
      <w:pPr>
        <w:autoSpaceDE w:val="0"/>
        <w:autoSpaceDN w:val="0"/>
        <w:adjustRightInd w:val="0"/>
        <w:spacing w:line="372" w:lineRule="auto"/>
        <w:ind w:firstLine="539"/>
        <w:jc w:val="both"/>
        <w:rPr>
          <w:sz w:val="28"/>
          <w:szCs w:val="28"/>
        </w:rPr>
      </w:pPr>
    </w:p>
    <w:p w:rsidR="009406DA" w:rsidRPr="00C30264" w:rsidRDefault="009406DA" w:rsidP="009406DA">
      <w:pPr>
        <w:spacing w:line="360" w:lineRule="auto"/>
        <w:ind w:firstLine="708"/>
        <w:jc w:val="both"/>
        <w:rPr>
          <w:sz w:val="28"/>
          <w:szCs w:val="28"/>
        </w:rPr>
      </w:pPr>
      <w:r w:rsidRPr="00C30264">
        <w:rPr>
          <w:sz w:val="28"/>
          <w:szCs w:val="28"/>
        </w:rPr>
        <w:t>Приложение: на 4 листах в 1 экз.</w:t>
      </w:r>
    </w:p>
    <w:p w:rsidR="0038383D" w:rsidRDefault="0038383D"/>
    <w:sectPr w:rsidR="0038383D" w:rsidSect="003350B9">
      <w:headerReference w:type="even" r:id="rId8"/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FF" w:rsidRDefault="00F428FF" w:rsidP="009406DA">
      <w:r>
        <w:separator/>
      </w:r>
    </w:p>
  </w:endnote>
  <w:endnote w:type="continuationSeparator" w:id="0">
    <w:p w:rsidR="00F428FF" w:rsidRDefault="00F428FF" w:rsidP="0094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FF" w:rsidRDefault="00F428FF" w:rsidP="009406DA">
      <w:r>
        <w:separator/>
      </w:r>
    </w:p>
  </w:footnote>
  <w:footnote w:type="continuationSeparator" w:id="0">
    <w:p w:rsidR="00F428FF" w:rsidRDefault="00F428FF" w:rsidP="009406DA">
      <w:r>
        <w:continuationSeparator/>
      </w:r>
    </w:p>
  </w:footnote>
  <w:footnote w:id="1">
    <w:p w:rsidR="009406DA" w:rsidRDefault="009406DA" w:rsidP="009406D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D5E80">
        <w:t>Постановление Правительства Р</w:t>
      </w:r>
      <w:r>
        <w:t xml:space="preserve">оссийской </w:t>
      </w:r>
      <w:r w:rsidRPr="003D5E80">
        <w:t>Ф</w:t>
      </w:r>
      <w:r>
        <w:t>едерации от 16 апреля 2012 г. №</w:t>
      </w:r>
      <w:r w:rsidRPr="003D5E80">
        <w:t xml:space="preserve"> 307 </w:t>
      </w:r>
      <w:r>
        <w:t>«</w:t>
      </w:r>
      <w:r w:rsidRPr="003D5E80">
        <w:t>О порядке подключения к системам теплоснабжения и о внесении изменений в некоторые акты Пра</w:t>
      </w:r>
      <w:r>
        <w:t>вительства Российской Федерации»</w:t>
      </w:r>
    </w:p>
  </w:footnote>
  <w:footnote w:id="2">
    <w:p w:rsidR="009406DA" w:rsidRDefault="009406DA" w:rsidP="009406D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gramStart"/>
      <w:r w:rsidRPr="003D5E80">
        <w:t>Постановление Правительства Р</w:t>
      </w:r>
      <w:r>
        <w:t xml:space="preserve">оссийской </w:t>
      </w:r>
      <w:r w:rsidRPr="003D5E80">
        <w:t>Ф</w:t>
      </w:r>
      <w:r>
        <w:t xml:space="preserve">едерации от 27 декабря </w:t>
      </w:r>
      <w:r w:rsidRPr="003D5E80">
        <w:t xml:space="preserve">2004 </w:t>
      </w:r>
      <w:r>
        <w:t>г. № 861 «</w:t>
      </w:r>
      <w:r w:rsidRPr="003D5E80">
        <w:t xml:space="preserve">Об утверждении Правил </w:t>
      </w:r>
      <w:proofErr w:type="spellStart"/>
      <w:r w:rsidRPr="003D5E80">
        <w:t>недискриминационного</w:t>
      </w:r>
      <w:proofErr w:type="spellEnd"/>
      <w:r w:rsidRPr="003D5E80">
        <w:t xml:space="preserve"> доступа к услугам по передаче электрической энергии и оказания этих услуг, Правил </w:t>
      </w:r>
      <w:proofErr w:type="spellStart"/>
      <w:r w:rsidRPr="003D5E80">
        <w:t>недискриминационного</w:t>
      </w:r>
      <w:proofErr w:type="spellEnd"/>
      <w:r w:rsidRPr="003D5E80"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Pr="003D5E80">
        <w:t>недискриминационного</w:t>
      </w:r>
      <w:proofErr w:type="spellEnd"/>
      <w:r w:rsidRPr="003D5E80"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D5E80">
        <w:t>энергопринимающих</w:t>
      </w:r>
      <w:proofErr w:type="spellEnd"/>
      <w:r w:rsidRPr="003D5E80">
        <w:t xml:space="preserve"> устройств потребителей</w:t>
      </w:r>
      <w:proofErr w:type="gramEnd"/>
      <w:r w:rsidRPr="003D5E80">
        <w:t xml:space="preserve"> электрической энергии, объектов по производству электрической энергии, а также объектов </w:t>
      </w:r>
      <w:proofErr w:type="spellStart"/>
      <w:r w:rsidRPr="003D5E80">
        <w:t>электросетевого</w:t>
      </w:r>
      <w:proofErr w:type="spellEnd"/>
      <w:r w:rsidRPr="003D5E80">
        <w:t xml:space="preserve"> хозяйства, принадлежащих сетевым организациям и ин</w:t>
      </w:r>
      <w:r>
        <w:t>ым лицам, к электрическим сетям»</w:t>
      </w:r>
    </w:p>
  </w:footnote>
  <w:footnote w:id="3">
    <w:p w:rsidR="009406DA" w:rsidRDefault="009406DA" w:rsidP="009406D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D5E80">
        <w:t>Постановление Правительства Р</w:t>
      </w:r>
      <w:r>
        <w:t xml:space="preserve">оссийской </w:t>
      </w:r>
      <w:r w:rsidRPr="003D5E80">
        <w:t>Ф</w:t>
      </w:r>
      <w:r>
        <w:t xml:space="preserve">едерации от 29 июля </w:t>
      </w:r>
      <w:r w:rsidRPr="003D5E80">
        <w:t xml:space="preserve">2013 </w:t>
      </w:r>
      <w:r>
        <w:t>г. № 644 «</w:t>
      </w:r>
      <w:r w:rsidRPr="003D5E80">
        <w:t>Об утверждении Правил холодного водоснабжения и водоотведения и о внесении изменений в некоторые акты Правительства Российс</w:t>
      </w:r>
      <w:r>
        <w:t>кой Федерации»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E" w:rsidRDefault="00F428FF" w:rsidP="00B30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AA5E7E" w:rsidRDefault="00F428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7E" w:rsidRDefault="00F428FF" w:rsidP="004A60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6DA">
      <w:rPr>
        <w:rStyle w:val="a5"/>
        <w:noProof/>
      </w:rPr>
      <w:t>12</w:t>
    </w:r>
    <w:r>
      <w:rPr>
        <w:rStyle w:val="a5"/>
      </w:rPr>
      <w:fldChar w:fldCharType="end"/>
    </w:r>
  </w:p>
  <w:p w:rsidR="00AA5E7E" w:rsidRDefault="00F428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612B"/>
    <w:multiLevelType w:val="multilevel"/>
    <w:tmpl w:val="1898C61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1517237"/>
    <w:multiLevelType w:val="multilevel"/>
    <w:tmpl w:val="A31E3F5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6161584"/>
    <w:multiLevelType w:val="hybridMultilevel"/>
    <w:tmpl w:val="4426F6D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C61"/>
    <w:rsid w:val="00117BDB"/>
    <w:rsid w:val="002D56D5"/>
    <w:rsid w:val="00312C61"/>
    <w:rsid w:val="0038383D"/>
    <w:rsid w:val="0042165A"/>
    <w:rsid w:val="00654E19"/>
    <w:rsid w:val="009406DA"/>
    <w:rsid w:val="00A0612D"/>
    <w:rsid w:val="00A66079"/>
    <w:rsid w:val="00AA29FF"/>
    <w:rsid w:val="00C734CE"/>
    <w:rsid w:val="00D70359"/>
    <w:rsid w:val="00E5791C"/>
    <w:rsid w:val="00E814EE"/>
    <w:rsid w:val="00EC2B0F"/>
    <w:rsid w:val="00F20D2C"/>
    <w:rsid w:val="00F428FF"/>
    <w:rsid w:val="00F5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312C61"/>
    <w:pPr>
      <w:spacing w:before="100" w:beforeAutospacing="1" w:after="100" w:afterAutospacing="1"/>
    </w:pPr>
  </w:style>
  <w:style w:type="character" w:customStyle="1" w:styleId="pt-a0">
    <w:name w:val="pt-a0"/>
    <w:basedOn w:val="a0"/>
    <w:rsid w:val="00312C61"/>
  </w:style>
  <w:style w:type="paragraph" w:customStyle="1" w:styleId="pt-a-000000">
    <w:name w:val="pt-a-000000"/>
    <w:basedOn w:val="a"/>
    <w:rsid w:val="00312C61"/>
    <w:pPr>
      <w:spacing w:before="100" w:beforeAutospacing="1" w:after="100" w:afterAutospacing="1"/>
    </w:pPr>
  </w:style>
  <w:style w:type="paragraph" w:customStyle="1" w:styleId="pt-a-000004">
    <w:name w:val="pt-a-000004"/>
    <w:basedOn w:val="a"/>
    <w:rsid w:val="00312C61"/>
    <w:pPr>
      <w:spacing w:before="100" w:beforeAutospacing="1" w:after="100" w:afterAutospacing="1"/>
    </w:pPr>
  </w:style>
  <w:style w:type="character" w:customStyle="1" w:styleId="pt-a0-000005">
    <w:name w:val="pt-a0-000005"/>
    <w:basedOn w:val="a0"/>
    <w:rsid w:val="00312C61"/>
  </w:style>
  <w:style w:type="paragraph" w:customStyle="1" w:styleId="pt-a-000006">
    <w:name w:val="pt-a-000006"/>
    <w:basedOn w:val="a"/>
    <w:rsid w:val="00312C61"/>
    <w:pPr>
      <w:spacing w:before="100" w:beforeAutospacing="1" w:after="100" w:afterAutospacing="1"/>
    </w:pPr>
  </w:style>
  <w:style w:type="paragraph" w:customStyle="1" w:styleId="pt-000009">
    <w:name w:val="pt-000009"/>
    <w:basedOn w:val="a"/>
    <w:rsid w:val="00312C61"/>
    <w:pPr>
      <w:spacing w:before="100" w:beforeAutospacing="1" w:after="100" w:afterAutospacing="1"/>
    </w:pPr>
  </w:style>
  <w:style w:type="character" w:customStyle="1" w:styleId="pt-000010">
    <w:name w:val="pt-000010"/>
    <w:basedOn w:val="a0"/>
    <w:rsid w:val="00312C61"/>
  </w:style>
  <w:style w:type="character" w:customStyle="1" w:styleId="pt-a0-000011">
    <w:name w:val="pt-a0-000011"/>
    <w:basedOn w:val="a0"/>
    <w:rsid w:val="00312C61"/>
  </w:style>
  <w:style w:type="character" w:customStyle="1" w:styleId="pt-a0-000012">
    <w:name w:val="pt-a0-000012"/>
    <w:basedOn w:val="a0"/>
    <w:rsid w:val="00312C61"/>
  </w:style>
  <w:style w:type="paragraph" w:customStyle="1" w:styleId="pt-000014">
    <w:name w:val="pt-000014"/>
    <w:basedOn w:val="a"/>
    <w:rsid w:val="00312C61"/>
    <w:pPr>
      <w:spacing w:before="100" w:beforeAutospacing="1" w:after="100" w:afterAutospacing="1"/>
    </w:pPr>
  </w:style>
  <w:style w:type="paragraph" w:customStyle="1" w:styleId="pt-consplusnormal">
    <w:name w:val="pt-consplusnormal"/>
    <w:basedOn w:val="a"/>
    <w:rsid w:val="00312C61"/>
    <w:pPr>
      <w:spacing w:before="100" w:beforeAutospacing="1" w:after="100" w:afterAutospacing="1"/>
    </w:pPr>
  </w:style>
  <w:style w:type="paragraph" w:customStyle="1" w:styleId="pt-a-000016">
    <w:name w:val="pt-a-000016"/>
    <w:basedOn w:val="a"/>
    <w:rsid w:val="00312C61"/>
    <w:pPr>
      <w:spacing w:before="100" w:beforeAutospacing="1" w:after="100" w:afterAutospacing="1"/>
    </w:pPr>
  </w:style>
  <w:style w:type="character" w:customStyle="1" w:styleId="pt-a0-000017">
    <w:name w:val="pt-a0-000017"/>
    <w:basedOn w:val="a0"/>
    <w:rsid w:val="00312C61"/>
  </w:style>
  <w:style w:type="paragraph" w:customStyle="1" w:styleId="pt-consplusnormal-000018">
    <w:name w:val="pt-consplusnormal-000018"/>
    <w:basedOn w:val="a"/>
    <w:rsid w:val="00312C61"/>
    <w:pPr>
      <w:spacing w:before="100" w:beforeAutospacing="1" w:after="100" w:afterAutospacing="1"/>
    </w:pPr>
  </w:style>
  <w:style w:type="paragraph" w:customStyle="1" w:styleId="pt-consplusnormal-000019">
    <w:name w:val="pt-consplusnormal-000019"/>
    <w:basedOn w:val="a"/>
    <w:rsid w:val="00312C61"/>
    <w:pPr>
      <w:spacing w:before="100" w:beforeAutospacing="1" w:after="100" w:afterAutospacing="1"/>
    </w:pPr>
  </w:style>
  <w:style w:type="paragraph" w:customStyle="1" w:styleId="pt-a-000020">
    <w:name w:val="pt-a-000020"/>
    <w:basedOn w:val="a"/>
    <w:rsid w:val="00312C61"/>
    <w:pPr>
      <w:spacing w:before="100" w:beforeAutospacing="1" w:after="100" w:afterAutospacing="1"/>
    </w:pPr>
  </w:style>
  <w:style w:type="paragraph" w:customStyle="1" w:styleId="pt-a-000021">
    <w:name w:val="pt-a-000021"/>
    <w:basedOn w:val="a"/>
    <w:rsid w:val="00312C61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940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406DA"/>
  </w:style>
  <w:style w:type="paragraph" w:customStyle="1" w:styleId="4">
    <w:name w:val="Знак Знак4"/>
    <w:basedOn w:val="a"/>
    <w:rsid w:val="009406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9406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rsid w:val="009406DA"/>
    <w:rPr>
      <w:color w:val="0000FF"/>
      <w:u w:val="single"/>
    </w:rPr>
  </w:style>
  <w:style w:type="paragraph" w:styleId="a7">
    <w:name w:val="footnote text"/>
    <w:basedOn w:val="a"/>
    <w:link w:val="a8"/>
    <w:uiPriority w:val="99"/>
    <w:rsid w:val="009406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406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406DA"/>
    <w:rPr>
      <w:vertAlign w:val="superscript"/>
    </w:rPr>
  </w:style>
  <w:style w:type="paragraph" w:customStyle="1" w:styleId="ConsPlusNormal">
    <w:name w:val="ConsPlusNormal"/>
    <w:rsid w:val="00940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06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3120</Words>
  <Characters>17789</Characters>
  <Application>Microsoft Office Word</Application>
  <DocSecurity>0</DocSecurity>
  <Lines>148</Lines>
  <Paragraphs>41</Paragraphs>
  <ScaleCrop>false</ScaleCrop>
  <Company/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KR-PC</dc:creator>
  <cp:keywords/>
  <dc:description/>
  <cp:lastModifiedBy>KR-PC</cp:lastModifiedBy>
  <cp:revision>5</cp:revision>
  <dcterms:created xsi:type="dcterms:W3CDTF">2016-07-27T08:43:00Z</dcterms:created>
  <dcterms:modified xsi:type="dcterms:W3CDTF">2016-07-27T13:34:00Z</dcterms:modified>
</cp:coreProperties>
</file>